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CF497D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CF497D">
        <w:rPr>
          <w:rFonts w:asciiTheme="majorHAnsi" w:hAnsiTheme="majorHAnsi"/>
          <w:b/>
          <w:sz w:val="26"/>
          <w:szCs w:val="26"/>
        </w:rPr>
        <w:t>3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234A9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83222C" w:rsidRPr="0083222C">
              <w:rPr>
                <w:rFonts w:asciiTheme="majorHAnsi" w:hAnsiTheme="majorHAnsi"/>
                <w:sz w:val="22"/>
              </w:rPr>
              <w:t>Assoc. Prof. Sedat YALÇINKAYA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3234A9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3D2BEF">
              <w:rPr>
                <w:rFonts w:asciiTheme="majorHAnsi" w:hAnsiTheme="majorHAnsi"/>
              </w:rPr>
              <w:t xml:space="preserve">Investigation of </w:t>
            </w:r>
            <w:r w:rsidR="00ED2196">
              <w:rPr>
                <w:rFonts w:asciiTheme="majorHAnsi" w:hAnsiTheme="majorHAnsi"/>
              </w:rPr>
              <w:t xml:space="preserve">land surface </w:t>
            </w:r>
            <w:r w:rsidR="003D2BEF">
              <w:rPr>
                <w:rFonts w:asciiTheme="majorHAnsi" w:hAnsiTheme="majorHAnsi"/>
              </w:rPr>
              <w:t>temperature heterogeneity in municipal landfills by satellite images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833723" w:rsidRPr="00833723">
              <w:rPr>
                <w:rFonts w:asciiTheme="majorHAnsi" w:hAnsiTheme="majorHAnsi"/>
              </w:rPr>
              <w:t>(Max 4 students)</w:t>
            </w:r>
            <w:r w:rsidR="003D2BEF">
              <w:rPr>
                <w:rFonts w:asciiTheme="majorHAnsi" w:hAnsiTheme="majorHAnsi"/>
              </w:rPr>
              <w:t xml:space="preserve"> 3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3D2BEF" w:rsidRDefault="00B977DB" w:rsidP="003D2BE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 :</w:t>
            </w:r>
            <w:proofErr w:type="gramEnd"/>
            <w:r w:rsidR="003D2BEF">
              <w:rPr>
                <w:rFonts w:asciiTheme="majorHAnsi" w:hAnsiTheme="majorHAnsi"/>
                <w:b/>
              </w:rPr>
              <w:t xml:space="preserve"> </w:t>
            </w:r>
            <w:r w:rsidR="003D2BEF" w:rsidRPr="003D2BEF">
              <w:rPr>
                <w:rFonts w:asciiTheme="majorHAnsi" w:hAnsiTheme="majorHAnsi"/>
              </w:rPr>
              <w:t>Fundamental GIS knowledge</w:t>
            </w:r>
            <w:r w:rsidR="003D2BEF">
              <w:rPr>
                <w:rFonts w:asciiTheme="majorHAnsi" w:hAnsiTheme="majorHAnsi"/>
              </w:rPr>
              <w:t>,</w:t>
            </w:r>
            <w:r w:rsidR="003D2BEF" w:rsidRPr="003D2BEF">
              <w:rPr>
                <w:rFonts w:asciiTheme="majorHAnsi" w:hAnsiTheme="majorHAnsi"/>
              </w:rPr>
              <w:t xml:space="preserve"> or</w:t>
            </w:r>
            <w:r w:rsidR="003D2BEF">
              <w:rPr>
                <w:rFonts w:asciiTheme="majorHAnsi" w:hAnsiTheme="majorHAnsi"/>
              </w:rPr>
              <w:t xml:space="preserve"> registration to </w:t>
            </w:r>
            <w:r w:rsidR="003D2BEF" w:rsidRPr="003D2BEF">
              <w:rPr>
                <w:rFonts w:asciiTheme="majorHAnsi" w:hAnsiTheme="majorHAnsi"/>
              </w:rPr>
              <w:t xml:space="preserve">ENVE 4095 - Special Topics </w:t>
            </w:r>
            <w:r w:rsidR="003D2BEF">
              <w:rPr>
                <w:rFonts w:asciiTheme="majorHAnsi" w:hAnsiTheme="majorHAnsi"/>
              </w:rPr>
              <w:t xml:space="preserve">in Environmental Engineering II </w:t>
            </w:r>
            <w:r w:rsidR="003D2BEF" w:rsidRPr="003D2BEF">
              <w:rPr>
                <w:rFonts w:asciiTheme="majorHAnsi" w:hAnsiTheme="majorHAnsi"/>
              </w:rPr>
              <w:t>(GIS in Water Resources)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045CD" w:rsidRDefault="003D2BEF" w:rsidP="00D94667">
            <w:pPr>
              <w:rPr>
                <w:rFonts w:asciiTheme="majorHAnsi" w:hAnsiTheme="majorHAnsi"/>
                <w:sz w:val="22"/>
              </w:rPr>
            </w:pPr>
            <w:r w:rsidRPr="003D2BEF">
              <w:rPr>
                <w:rFonts w:asciiTheme="majorHAnsi" w:hAnsiTheme="majorHAnsi"/>
                <w:sz w:val="22"/>
              </w:rPr>
              <w:t xml:space="preserve">Landsat-8 and/or Landsat-9 Thermal Infrared Sensor (TIRS) images will be downloaded </w:t>
            </w:r>
            <w:r>
              <w:rPr>
                <w:rFonts w:asciiTheme="majorHAnsi" w:hAnsiTheme="majorHAnsi"/>
                <w:sz w:val="22"/>
              </w:rPr>
              <w:t>for each month of the last year for the point of interest (</w:t>
            </w:r>
            <w:proofErr w:type="spellStart"/>
            <w:r>
              <w:rPr>
                <w:rFonts w:asciiTheme="majorHAnsi" w:hAnsiTheme="majorHAnsi"/>
                <w:sz w:val="22"/>
              </w:rPr>
              <w:t>Şile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2"/>
              </w:rPr>
              <w:t>Kömürcüoda</w:t>
            </w:r>
            <w:proofErr w:type="spellEnd"/>
            <w:r>
              <w:rPr>
                <w:rFonts w:asciiTheme="majorHAnsi" w:hAnsiTheme="majorHAnsi"/>
                <w:sz w:val="22"/>
              </w:rPr>
              <w:t xml:space="preserve"> Landfill). Cloudiness of the images will be controlled. </w:t>
            </w:r>
            <w:r w:rsidR="00ED2196">
              <w:rPr>
                <w:rFonts w:asciiTheme="majorHAnsi" w:hAnsiTheme="majorHAnsi"/>
                <w:sz w:val="22"/>
              </w:rPr>
              <w:t>Land surface temperature for each month will be calculated and mapped using GIS. Hotspots will be determined by performing GIS-based statistical analyses.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045CD" w:rsidRDefault="0083222C" w:rsidP="00D94667">
            <w:pPr>
              <w:rPr>
                <w:rFonts w:asciiTheme="majorHAnsi" w:hAnsiTheme="majorHAnsi"/>
                <w:sz w:val="22"/>
              </w:rPr>
            </w:pPr>
            <w:r w:rsidRPr="0083222C">
              <w:rPr>
                <w:rFonts w:asciiTheme="majorHAnsi" w:hAnsiTheme="majorHAnsi"/>
                <w:sz w:val="22"/>
              </w:rPr>
              <w:t>Laptop or desktop with simple hardware and software installed.</w:t>
            </w:r>
            <w:bookmarkStart w:id="2" w:name="_GoBack"/>
            <w:bookmarkEnd w:id="2"/>
          </w:p>
          <w:p w:rsidR="00715849" w:rsidRPr="0083222C" w:rsidRDefault="0083222C" w:rsidP="00D94667">
            <w:pPr>
              <w:rPr>
                <w:rFonts w:asciiTheme="majorHAnsi" w:hAnsiTheme="majorHAnsi"/>
                <w:sz w:val="22"/>
              </w:rPr>
            </w:pPr>
            <w:r w:rsidRPr="0083222C">
              <w:rPr>
                <w:rFonts w:asciiTheme="majorHAnsi" w:hAnsiTheme="majorHAnsi"/>
                <w:sz w:val="22"/>
              </w:rPr>
              <w:t>ArcGIS software</w:t>
            </w:r>
            <w:r w:rsidR="00ED2196">
              <w:rPr>
                <w:rFonts w:asciiTheme="majorHAnsi" w:hAnsiTheme="majorHAnsi"/>
                <w:sz w:val="22"/>
              </w:rPr>
              <w:t>.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130"/>
              <w:gridCol w:w="1260"/>
            </w:tblGrid>
            <w:tr w:rsidR="00ED2196" w:rsidTr="00D045CD">
              <w:tc>
                <w:tcPr>
                  <w:tcW w:w="6130" w:type="dxa"/>
                </w:tcPr>
                <w:p w:rsidR="00ED2196" w:rsidRPr="00ED2196" w:rsidRDefault="00ED2196" w:rsidP="00D94667">
                  <w:pPr>
                    <w:rPr>
                      <w:rFonts w:asciiTheme="majorHAnsi" w:hAnsiTheme="majorHAnsi"/>
                      <w:b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b/>
                      <w:sz w:val="22"/>
                    </w:rPr>
                    <w:t>Work Step</w:t>
                  </w:r>
                </w:p>
              </w:tc>
              <w:tc>
                <w:tcPr>
                  <w:tcW w:w="1260" w:type="dxa"/>
                </w:tcPr>
                <w:p w:rsidR="00ED2196" w:rsidRPr="00ED2196" w:rsidRDefault="00ED2196" w:rsidP="00D94667">
                  <w:pPr>
                    <w:rPr>
                      <w:rFonts w:asciiTheme="majorHAnsi" w:hAnsiTheme="majorHAnsi"/>
                      <w:b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b/>
                      <w:sz w:val="22"/>
                    </w:rPr>
                    <w:t>Schedule</w:t>
                  </w:r>
                  <w:r w:rsidR="00D045CD">
                    <w:rPr>
                      <w:rFonts w:asciiTheme="majorHAnsi" w:hAnsiTheme="majorHAnsi"/>
                      <w:b/>
                      <w:sz w:val="22"/>
                    </w:rPr>
                    <w:t xml:space="preserve"> (weeks)</w:t>
                  </w:r>
                </w:p>
              </w:tc>
            </w:tr>
            <w:tr w:rsidR="00ED2196" w:rsidTr="00D045CD">
              <w:tc>
                <w:tcPr>
                  <w:tcW w:w="6130" w:type="dxa"/>
                </w:tcPr>
                <w:p w:rsid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 xml:space="preserve">Literature review &amp; software setup </w:t>
                  </w:r>
                </w:p>
              </w:tc>
              <w:tc>
                <w:tcPr>
                  <w:tcW w:w="1260" w:type="dxa"/>
                </w:tcPr>
                <w:p w:rsid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1-8</w:t>
                  </w:r>
                </w:p>
              </w:tc>
            </w:tr>
            <w:tr w:rsidR="00D045CD" w:rsidTr="00D045CD">
              <w:tc>
                <w:tcPr>
                  <w:tcW w:w="6130" w:type="dxa"/>
                </w:tcPr>
                <w:p w:rsidR="00D045CD" w:rsidRDefault="00D045CD" w:rsidP="00D045CD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>Data acquisition</w:t>
                  </w:r>
                </w:p>
              </w:tc>
              <w:tc>
                <w:tcPr>
                  <w:tcW w:w="1260" w:type="dxa"/>
                </w:tcPr>
                <w:p w:rsidR="00D045CD" w:rsidRDefault="00D045CD" w:rsidP="00D045CD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9-14</w:t>
                  </w:r>
                </w:p>
              </w:tc>
            </w:tr>
            <w:tr w:rsidR="00ED2196" w:rsidTr="00D045CD">
              <w:tc>
                <w:tcPr>
                  <w:tcW w:w="6130" w:type="dxa"/>
                </w:tcPr>
                <w:p w:rsidR="00ED2196" w:rsidRDefault="00ED2196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 xml:space="preserve">Data </w:t>
                  </w:r>
                  <w:r w:rsidR="00D045CD">
                    <w:rPr>
                      <w:rFonts w:asciiTheme="majorHAnsi" w:hAnsiTheme="majorHAnsi"/>
                      <w:sz w:val="22"/>
                    </w:rPr>
                    <w:t xml:space="preserve">pre-processing &amp; </w:t>
                  </w:r>
                  <w:r w:rsidRPr="00ED2196">
                    <w:rPr>
                      <w:rFonts w:asciiTheme="majorHAnsi" w:hAnsiTheme="majorHAnsi"/>
                      <w:sz w:val="22"/>
                    </w:rPr>
                    <w:t>calculation of land surface temperature</w:t>
                  </w:r>
                </w:p>
              </w:tc>
              <w:tc>
                <w:tcPr>
                  <w:tcW w:w="1260" w:type="dxa"/>
                </w:tcPr>
                <w:p w:rsid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</w:t>
                  </w:r>
                  <w:r w:rsidR="00ED2196">
                    <w:rPr>
                      <w:rFonts w:asciiTheme="majorHAnsi" w:hAnsiTheme="majorHAnsi"/>
                      <w:sz w:val="22"/>
                    </w:rPr>
                    <w:t>5-</w:t>
                  </w:r>
                  <w:r>
                    <w:rPr>
                      <w:rFonts w:asciiTheme="majorHAnsi" w:hAnsiTheme="majorHAnsi"/>
                      <w:sz w:val="22"/>
                    </w:rPr>
                    <w:t>18</w:t>
                  </w:r>
                </w:p>
              </w:tc>
            </w:tr>
            <w:tr w:rsidR="00ED2196" w:rsidTr="00D045CD">
              <w:tc>
                <w:tcPr>
                  <w:tcW w:w="6130" w:type="dxa"/>
                </w:tcPr>
                <w:p w:rsidR="00ED2196" w:rsidRDefault="00ED2196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>Hotspot analysis</w:t>
                  </w:r>
                </w:p>
              </w:tc>
              <w:tc>
                <w:tcPr>
                  <w:tcW w:w="1260" w:type="dxa"/>
                </w:tcPr>
                <w:p w:rsid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19-22</w:t>
                  </w:r>
                </w:p>
              </w:tc>
            </w:tr>
            <w:tr w:rsidR="00ED2196" w:rsidTr="00D045CD">
              <w:tc>
                <w:tcPr>
                  <w:tcW w:w="6130" w:type="dxa"/>
                </w:tcPr>
                <w:p w:rsidR="00ED2196" w:rsidRDefault="00ED2196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 w:rsidRPr="00ED2196">
                    <w:rPr>
                      <w:rFonts w:asciiTheme="majorHAnsi" w:hAnsiTheme="majorHAnsi"/>
                      <w:sz w:val="22"/>
                    </w:rPr>
                    <w:t>Final assessment</w:t>
                  </w:r>
                </w:p>
              </w:tc>
              <w:tc>
                <w:tcPr>
                  <w:tcW w:w="1260" w:type="dxa"/>
                </w:tcPr>
                <w:p w:rsid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23-25</w:t>
                  </w:r>
                </w:p>
              </w:tc>
            </w:tr>
            <w:tr w:rsidR="00D045CD" w:rsidTr="00D045CD">
              <w:tc>
                <w:tcPr>
                  <w:tcW w:w="6130" w:type="dxa"/>
                </w:tcPr>
                <w:p w:rsidR="00D045CD" w:rsidRPr="00ED2196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Report wring &amp; Poster preparation</w:t>
                  </w:r>
                </w:p>
              </w:tc>
              <w:tc>
                <w:tcPr>
                  <w:tcW w:w="1260" w:type="dxa"/>
                </w:tcPr>
                <w:p w:rsidR="00D045CD" w:rsidRDefault="00D045CD" w:rsidP="00D94667">
                  <w:pPr>
                    <w:rPr>
                      <w:rFonts w:asciiTheme="majorHAnsi" w:hAnsiTheme="majorHAnsi"/>
                      <w:sz w:val="22"/>
                    </w:rPr>
                  </w:pPr>
                  <w:r>
                    <w:rPr>
                      <w:rFonts w:asciiTheme="majorHAnsi" w:hAnsiTheme="majorHAnsi"/>
                      <w:sz w:val="22"/>
                    </w:rPr>
                    <w:t>25-28</w:t>
                  </w:r>
                </w:p>
              </w:tc>
            </w:tr>
          </w:tbl>
          <w:p w:rsidR="00B977DB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D045CD" w:rsidRPr="002A2018" w:rsidRDefault="00D045CD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70A" w:rsidRDefault="006E670A">
      <w:r>
        <w:separator/>
      </w:r>
    </w:p>
  </w:endnote>
  <w:endnote w:type="continuationSeparator" w:id="0">
    <w:p w:rsidR="006E670A" w:rsidRDefault="006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70A" w:rsidRDefault="006E670A">
      <w:r>
        <w:separator/>
      </w:r>
    </w:p>
  </w:footnote>
  <w:footnote w:type="continuationSeparator" w:id="0">
    <w:p w:rsidR="006E670A" w:rsidRDefault="006E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A2018"/>
    <w:rsid w:val="003234A9"/>
    <w:rsid w:val="00376C18"/>
    <w:rsid w:val="00391F8B"/>
    <w:rsid w:val="00392061"/>
    <w:rsid w:val="003C0335"/>
    <w:rsid w:val="003D2BEF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D39AC"/>
    <w:rsid w:val="006E16C4"/>
    <w:rsid w:val="006E331C"/>
    <w:rsid w:val="006E670A"/>
    <w:rsid w:val="007031D0"/>
    <w:rsid w:val="00703D5B"/>
    <w:rsid w:val="00715849"/>
    <w:rsid w:val="007270A5"/>
    <w:rsid w:val="00730A02"/>
    <w:rsid w:val="00766DA6"/>
    <w:rsid w:val="00773468"/>
    <w:rsid w:val="007760F7"/>
    <w:rsid w:val="007D7BBB"/>
    <w:rsid w:val="007E2375"/>
    <w:rsid w:val="007E6938"/>
    <w:rsid w:val="0083222C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A05B8"/>
    <w:rsid w:val="00AC59D6"/>
    <w:rsid w:val="00B53300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CF497D"/>
    <w:rsid w:val="00D00CBC"/>
    <w:rsid w:val="00D045CD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050CA"/>
    <w:rsid w:val="00E27323"/>
    <w:rsid w:val="00E64548"/>
    <w:rsid w:val="00E71606"/>
    <w:rsid w:val="00E725EB"/>
    <w:rsid w:val="00E80932"/>
    <w:rsid w:val="00ED2196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9D70D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table" w:styleId="TableGrid">
    <w:name w:val="Table Grid"/>
    <w:basedOn w:val="TableNormal"/>
    <w:rsid w:val="00ED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E7C5D-B142-4CB4-A860-4128CADD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Sedat Yalçınkaya</cp:lastModifiedBy>
  <cp:revision>6</cp:revision>
  <cp:lastPrinted>2007-10-18T06:28:00Z</cp:lastPrinted>
  <dcterms:created xsi:type="dcterms:W3CDTF">2022-09-01T09:27:00Z</dcterms:created>
  <dcterms:modified xsi:type="dcterms:W3CDTF">2022-09-15T11:16:00Z</dcterms:modified>
</cp:coreProperties>
</file>